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7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7" w:rsidRDefault="00C82F47">
      <w:pPr>
        <w:pStyle w:val="Style2"/>
        <w:widowControl/>
        <w:spacing w:line="240" w:lineRule="exact"/>
        <w:ind w:left="811" w:firstLine="0"/>
        <w:jc w:val="left"/>
        <w:rPr>
          <w:sz w:val="20"/>
          <w:szCs w:val="20"/>
        </w:rPr>
      </w:pPr>
    </w:p>
    <w:p w:rsidR="00B91ED9" w:rsidRDefault="00B91ED9" w:rsidP="00B91ED9">
      <w:pPr>
        <w:pStyle w:val="Style2"/>
        <w:widowControl/>
        <w:spacing w:before="130"/>
        <w:ind w:left="811"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ПРОЕКТ</w:t>
      </w:r>
    </w:p>
    <w:p w:rsidR="00C82F47" w:rsidRDefault="00B91ED9" w:rsidP="00B91ED9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 xml:space="preserve">МЕСТНЫХ НОРМАТИВОВ </w:t>
      </w:r>
      <w:r w:rsidR="00C82F47">
        <w:rPr>
          <w:rStyle w:val="FontStyle45"/>
        </w:rPr>
        <w:t>ГРАДОСТРОИТЕЛЬНОГО ПРОЕКТИРОВАНИЯ МУНИЦИПАЛЬНОГО ОБРАЗОВАНИЯ   «</w:t>
      </w:r>
      <w:r w:rsidR="00FD5A61">
        <w:rPr>
          <w:rStyle w:val="FontStyle45"/>
        </w:rPr>
        <w:t>Ш</w:t>
      </w:r>
      <w:r w:rsidR="00070057">
        <w:rPr>
          <w:rStyle w:val="FontStyle45"/>
        </w:rPr>
        <w:t>ИНЬШИНСКОЕ</w:t>
      </w:r>
      <w:r w:rsidR="00C82F47">
        <w:rPr>
          <w:rStyle w:val="FontStyle45"/>
        </w:rPr>
        <w:t xml:space="preserve"> СЕЛЬСКОЕ ПОСЕЛЕНИЕ»</w:t>
      </w:r>
    </w:p>
    <w:p w:rsidR="00C82F47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МОРКИНСКОГО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муниципального образования   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сельское поселение» 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7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0A377A">
        <w:rPr>
          <w:rStyle w:val="FontStyle45"/>
          <w:b w:val="0"/>
          <w:bCs w:val="0"/>
        </w:rPr>
        <w:t xml:space="preserve">сельское поселение»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</w:t>
      </w:r>
      <w:r>
        <w:rPr>
          <w:rStyle w:val="FontStyle46"/>
        </w:rPr>
        <w:lastRenderedPageBreak/>
        <w:t>максимально допустимого уровня территориальной доступности таких объектов для населения поселения.</w:t>
      </w:r>
    </w:p>
    <w:p w:rsidR="00C82F47" w:rsidRPr="00DF3123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утверждаются представительным органом местного самоуправления - Собранием  депутатов </w:t>
      </w:r>
      <w:r w:rsidR="003E28FD">
        <w:rPr>
          <w:rStyle w:val="FontStyle45"/>
          <w:b w:val="0"/>
          <w:bCs w:val="0"/>
        </w:rPr>
        <w:t>Шиньшинского</w:t>
      </w:r>
      <w:r>
        <w:rPr>
          <w:rStyle w:val="FontStyle45"/>
          <w:b w:val="0"/>
          <w:bCs w:val="0"/>
        </w:rPr>
        <w:t xml:space="preserve"> сельского поселения.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 w:rsidRPr="00DF3123">
        <w:rPr>
          <w:rStyle w:val="FontStyle45"/>
          <w:b w:val="0"/>
          <w:bCs w:val="0"/>
        </w:rPr>
        <w:t xml:space="preserve"> сельское поселение»,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lastRenderedPageBreak/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70326A">
        <w:rPr>
          <w:rStyle w:val="FontStyle46"/>
        </w:rPr>
        <w:softHyphen/>
        <w:t>89*).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 w:rsidRPr="00DF3123">
        <w:rPr>
          <w:rStyle w:val="FontStyle45"/>
          <w:b w:val="0"/>
          <w:bCs w:val="0"/>
        </w:rPr>
        <w:t xml:space="preserve"> 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 w:rsidRPr="00DF3123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>о образования 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>
        <w:rPr>
          <w:rStyle w:val="FontStyle46"/>
        </w:rPr>
        <w:lastRenderedPageBreak/>
        <w:t>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муниципального образования 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>
        <w:rPr>
          <w:rStyle w:val="FontStyle45"/>
          <w:b w:val="0"/>
          <w:bCs w:val="0"/>
        </w:rPr>
        <w:t xml:space="preserve"> 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lastRenderedPageBreak/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>униципального образования «</w:t>
      </w:r>
      <w:r w:rsidR="00070057">
        <w:rPr>
          <w:rStyle w:val="FontStyle45"/>
          <w:b w:val="0"/>
          <w:bCs w:val="0"/>
        </w:rPr>
        <w:t>Шиньшинское</w:t>
      </w:r>
      <w:r w:rsidRPr="006533BB">
        <w:rPr>
          <w:rStyle w:val="FontStyle45"/>
          <w:b w:val="0"/>
          <w:bCs w:val="0"/>
        </w:rPr>
        <w:t xml:space="preserve"> 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lastRenderedPageBreak/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 xml:space="preserve">сельское поселение»,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Pr="00D0316B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  <w:sectPr w:rsidR="00C82F47" w:rsidRPr="00D0316B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более 100 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lastRenderedPageBreak/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</w:t>
      </w:r>
      <w:r>
        <w:rPr>
          <w:rStyle w:val="FontStyle45"/>
        </w:rPr>
        <w:t xml:space="preserve">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Дом культуры и творчества или объект      аналогичный  такому функциональному назначению, Здание библиотеки или   объект аналогичный такому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мотопомп: 100м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150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lastRenderedPageBreak/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 w:rsidRPr="00831605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50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каждые 50 метров улично-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>
          <w:footerReference w:type="even" r:id="rId11"/>
          <w:footerReference w:type="default" r:id="rId12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 w:rsidR="00742CC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 xml:space="preserve">если они оказывают или будут оказывать </w:t>
      </w:r>
      <w:r w:rsidRPr="00831605">
        <w:rPr>
          <w:rStyle w:val="FontStyle45"/>
          <w:b w:val="0"/>
          <w:bCs w:val="0"/>
        </w:rPr>
        <w:lastRenderedPageBreak/>
        <w:t>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>в целом либо 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3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4"/>
          <w:footerReference w:type="default" r:id="rId15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6"/>
          <w:footerReference w:type="default" r:id="rId17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</w:t>
            </w:r>
            <w:r w:rsidRPr="00D95D67">
              <w:rPr>
                <w:rStyle w:val="FontStyle46"/>
              </w:rPr>
              <w:lastRenderedPageBreak/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18"/>
          <w:footerReference w:type="default" r:id="rId19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4.5  Обоснование расчетных показателей для объектов электро-, тепло-, газо- и водоснабжение населения, водоотведения</w:t>
      </w:r>
    </w:p>
    <w:p w:rsidR="00C82F47" w:rsidRDefault="00C82F47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lastRenderedPageBreak/>
        <w:t xml:space="preserve">Для   </w:t>
      </w:r>
      <w:r w:rsidRPr="002509C3">
        <w:rPr>
          <w:rStyle w:val="FontStyle45"/>
          <w:b w:val="0"/>
          <w:bCs w:val="0"/>
        </w:rPr>
        <w:t>населенных   пунктов   муниципального образования «</w:t>
      </w:r>
      <w:r w:rsidR="00070057">
        <w:rPr>
          <w:rStyle w:val="FontStyle45"/>
          <w:b w:val="0"/>
          <w:bCs w:val="0"/>
        </w:rPr>
        <w:t>Шиньшинское</w:t>
      </w:r>
      <w:r w:rsidR="001F1C60">
        <w:rPr>
          <w:rStyle w:val="FontStyle45"/>
          <w:b w:val="0"/>
          <w:bCs w:val="0"/>
        </w:rPr>
        <w:t xml:space="preserve"> сельское поселение</w:t>
      </w:r>
      <w:r w:rsidRPr="002509C3">
        <w:rPr>
          <w:rStyle w:val="FontStyle45"/>
          <w:b w:val="0"/>
          <w:bCs w:val="0"/>
        </w:rPr>
        <w:t xml:space="preserve">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</w:t>
            </w:r>
            <w:r w:rsidRPr="00D95D67">
              <w:rPr>
                <w:rStyle w:val="FontStyle46"/>
              </w:rPr>
              <w:lastRenderedPageBreak/>
              <w:t>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Согласно техническим условиям энергоснабжающей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максимально  </w:t>
            </w:r>
            <w:r w:rsidRPr="00D95D67">
              <w:rPr>
                <w:rStyle w:val="FontStyle46"/>
              </w:rPr>
              <w:lastRenderedPageBreak/>
              <w:t>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Pr="00D95D67">
              <w:rPr>
                <w:rStyle w:val="FontStyle12"/>
                <w:sz w:val="26"/>
                <w:szCs w:val="26"/>
              </w:rPr>
              <w:t xml:space="preserve">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0"/>
          <w:footerReference w:type="default" r:id="rId21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7073F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 xml:space="preserve">объектами в области </w:t>
      </w:r>
      <w:r w:rsidRPr="007073F5">
        <w:rPr>
          <w:rStyle w:val="FontStyle45"/>
          <w:b w:val="0"/>
          <w:bCs w:val="0"/>
        </w:rPr>
        <w:lastRenderedPageBreak/>
        <w:t>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9"/>
        <w:widowControl/>
        <w:spacing w:before="67"/>
        <w:rPr>
          <w:rStyle w:val="FontStyle46"/>
        </w:rPr>
      </w:pP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>
      <w:pPr>
        <w:pStyle w:val="Style12"/>
        <w:widowControl/>
        <w:ind w:left="710" w:hanging="710"/>
        <w:rPr>
          <w:rStyle w:val="FontStyle45"/>
        </w:rPr>
      </w:pP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C82F47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Раздел 11 СП 42.13330.2011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Приложение К СП 42.13330.2011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дороги улично-дорожной сети населенного пункта с </w:t>
            </w:r>
            <w:r w:rsidRPr="00D95D67">
              <w:rPr>
                <w:rStyle w:val="FontStyle46"/>
              </w:rPr>
              <w:lastRenderedPageBreak/>
              <w:t>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75% общей протяженности улично-дорожной сети находящейся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парковок по 25 машино-мест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100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до 45 мин</w:t>
            </w:r>
          </w:p>
        </w:tc>
      </w:tr>
    </w:tbl>
    <w:p w:rsidR="00C82F47" w:rsidRDefault="00C82F47">
      <w:pPr>
        <w:pStyle w:val="Style9"/>
        <w:widowControl/>
        <w:jc w:val="left"/>
        <w:rPr>
          <w:rStyle w:val="FontStyle46"/>
        </w:rPr>
      </w:pPr>
    </w:p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82F47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В - поселковые улицы в малоэтажной застройке;                                                  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B91ED9">
      <w:pPr>
        <w:widowControl/>
        <w:spacing w:before="326"/>
        <w:ind w:right="288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001.jpg" style="width:442.5pt;height:632.25pt;visibility:visible">
            <v:imagedata r:id="rId22" o:title=""/>
          </v:shape>
        </w:pict>
      </w:r>
    </w:p>
    <w:p w:rsidR="00C82F47" w:rsidRDefault="00C82F47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C82F47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C82F47" w:rsidRDefault="00B91ED9" w:rsidP="00DF63B3">
      <w:pPr>
        <w:widowControl/>
        <w:spacing w:before="326"/>
        <w:ind w:right="288"/>
        <w:jc w:val="center"/>
      </w:pPr>
      <w:r>
        <w:rPr>
          <w:noProof/>
        </w:rPr>
        <w:lastRenderedPageBreak/>
        <w:pict>
          <v:shape id="Рисунок 6" o:spid="_x0000_i1026" type="#_x0000_t75" alt="IMG.jpg" style="width:6in;height:540pt;visibility:visible">
            <v:imagedata r:id="rId23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B91ED9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 w:rsidRPr="00A824D9">
        <w:rPr>
          <w:b/>
          <w:bCs/>
          <w:noProof/>
          <w:sz w:val="26"/>
          <w:szCs w:val="26"/>
        </w:rPr>
        <w:pict>
          <v:shape id="Рисунок 3" o:spid="_x0000_i1027" type="#_x0000_t75" alt="IMG_0002.jpg" style="width:396pt;height:783pt;visibility:visible">
            <v:imagedata r:id="rId24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</w:r>
      <w:r>
        <w:rPr>
          <w:rStyle w:val="FontStyle46"/>
        </w:rPr>
        <w:lastRenderedPageBreak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5"/>
          <w:footerReference w:type="default" r:id="rId26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>Муниципального образования   «</w:t>
            </w:r>
            <w:r w:rsidR="00070057">
              <w:rPr>
                <w:rStyle w:val="FontStyle45"/>
                <w:b w:val="0"/>
                <w:bCs w:val="0"/>
              </w:rPr>
              <w:t>Шиньшинское</w:t>
            </w:r>
            <w:r w:rsidRPr="00D95D67">
              <w:rPr>
                <w:rStyle w:val="FontStyle45"/>
                <w:b w:val="0"/>
                <w:bCs w:val="0"/>
              </w:rPr>
              <w:t xml:space="preserve"> сельское поселение»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070057">
        <w:rPr>
          <w:rStyle w:val="FontStyle45"/>
          <w:b w:val="0"/>
          <w:bCs w:val="0"/>
        </w:rPr>
        <w:t>Шиньшинское</w:t>
      </w:r>
      <w:r>
        <w:rPr>
          <w:rStyle w:val="FontStyle45"/>
          <w:b w:val="0"/>
          <w:bCs w:val="0"/>
        </w:rPr>
        <w:t xml:space="preserve"> </w:t>
      </w:r>
      <w:r w:rsidRPr="00292999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7"/>
          <w:footerReference w:type="default" r:id="rId28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для населенного пункта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2F492C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30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9"/>
          <w:footerReference w:type="default" r:id="rId30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75%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5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-15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расстоянии не менее 100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1"/>
          <w:footerReference w:type="default" r:id="rId32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 w:rsidRPr="003C179B">
        <w:rPr>
          <w:rStyle w:val="FontStyle46"/>
          <w:b/>
          <w:bCs/>
        </w:rPr>
        <w:lastRenderedPageBreak/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</w:t>
      </w:r>
      <w:r w:rsidR="00070057">
        <w:rPr>
          <w:b/>
          <w:bCs/>
          <w:sz w:val="28"/>
          <w:szCs w:val="28"/>
        </w:rPr>
        <w:t>Шиньшинское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Pr="00E50618" w:rsidRDefault="00B91ED9" w:rsidP="003E28FD">
      <w:pPr>
        <w:pStyle w:val="Style6"/>
        <w:widowControl/>
        <w:spacing w:line="240" w:lineRule="auto"/>
        <w:ind w:firstLine="0"/>
        <w:jc w:val="center"/>
        <w:rPr>
          <w:rStyle w:val="FontStyle46"/>
        </w:rPr>
      </w:pPr>
      <w:r>
        <w:pict>
          <v:shape id="_x0000_i1028" type="#_x0000_t75" style="width:335.25pt;height:664.5pt">
            <v:imagedata r:id="rId33" o:title="Генплан Шиньша ЗОУИТ"/>
          </v:shape>
        </w:pict>
      </w:r>
    </w:p>
    <w:sectPr w:rsidR="00C82F47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DD" w:rsidRDefault="00053FDD">
      <w:r>
        <w:separator/>
      </w:r>
    </w:p>
  </w:endnote>
  <w:endnote w:type="continuationSeparator" w:id="1">
    <w:p w:rsidR="00053FDD" w:rsidRDefault="0005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B91ED9">
      <w:rPr>
        <w:rStyle w:val="FontStyle46"/>
        <w:noProof/>
      </w:rPr>
      <w:t>2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B91ED9"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B91ED9">
      <w:rPr>
        <w:rStyle w:val="FontStyle46"/>
        <w:noProof/>
      </w:rPr>
      <w:t>40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B91ED9">
      <w:rPr>
        <w:rStyle w:val="FontStyle46"/>
        <w:noProof/>
      </w:rPr>
      <w:t>39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B91ED9">
      <w:rPr>
        <w:rStyle w:val="FontStyle46"/>
        <w:noProof/>
      </w:rPr>
      <w:t>3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B91ED9">
      <w:rPr>
        <w:rStyle w:val="FontStyle46"/>
        <w:noProof/>
      </w:rPr>
      <w:t>46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B91ED9">
      <w:rPr>
        <w:rStyle w:val="FontStyle46"/>
        <w:noProof/>
      </w:rPr>
      <w:t>45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B91ED9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B91ED9"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B91ED9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A824D9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B91ED9">
      <w:rPr>
        <w:rStyle w:val="FontStyle46"/>
        <w:noProof/>
      </w:rPr>
      <w:t>23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DD" w:rsidRDefault="00053FDD">
      <w:r>
        <w:separator/>
      </w:r>
    </w:p>
  </w:footnote>
  <w:footnote w:type="continuationSeparator" w:id="1">
    <w:p w:rsidR="00053FDD" w:rsidRDefault="00053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1F"/>
    <w:rsid w:val="0003110B"/>
    <w:rsid w:val="00046C5D"/>
    <w:rsid w:val="00053FDD"/>
    <w:rsid w:val="00062671"/>
    <w:rsid w:val="00062D57"/>
    <w:rsid w:val="00070057"/>
    <w:rsid w:val="00071110"/>
    <w:rsid w:val="00083348"/>
    <w:rsid w:val="000A377A"/>
    <w:rsid w:val="000C064E"/>
    <w:rsid w:val="000C0DAC"/>
    <w:rsid w:val="000D2382"/>
    <w:rsid w:val="000E66BD"/>
    <w:rsid w:val="0013279C"/>
    <w:rsid w:val="00146A93"/>
    <w:rsid w:val="001829DA"/>
    <w:rsid w:val="001B301F"/>
    <w:rsid w:val="001E59B6"/>
    <w:rsid w:val="001F1C60"/>
    <w:rsid w:val="00205446"/>
    <w:rsid w:val="00206861"/>
    <w:rsid w:val="0021471D"/>
    <w:rsid w:val="00216FAB"/>
    <w:rsid w:val="00220C94"/>
    <w:rsid w:val="002211FE"/>
    <w:rsid w:val="00233C33"/>
    <w:rsid w:val="002509C3"/>
    <w:rsid w:val="002531D3"/>
    <w:rsid w:val="00266B7A"/>
    <w:rsid w:val="00270C3A"/>
    <w:rsid w:val="0027676E"/>
    <w:rsid w:val="00276C22"/>
    <w:rsid w:val="00277A75"/>
    <w:rsid w:val="00292999"/>
    <w:rsid w:val="002A7B6D"/>
    <w:rsid w:val="002B2190"/>
    <w:rsid w:val="002D68BF"/>
    <w:rsid w:val="002F492C"/>
    <w:rsid w:val="002F6301"/>
    <w:rsid w:val="00300B30"/>
    <w:rsid w:val="0030428C"/>
    <w:rsid w:val="003120A1"/>
    <w:rsid w:val="00314A8F"/>
    <w:rsid w:val="0032011D"/>
    <w:rsid w:val="00334922"/>
    <w:rsid w:val="00335E07"/>
    <w:rsid w:val="0034177E"/>
    <w:rsid w:val="00361FEF"/>
    <w:rsid w:val="0036263E"/>
    <w:rsid w:val="00385A33"/>
    <w:rsid w:val="003A58EC"/>
    <w:rsid w:val="003C179B"/>
    <w:rsid w:val="003D1453"/>
    <w:rsid w:val="003D2A85"/>
    <w:rsid w:val="003E1268"/>
    <w:rsid w:val="003E28FD"/>
    <w:rsid w:val="00407D88"/>
    <w:rsid w:val="00411541"/>
    <w:rsid w:val="00411CF9"/>
    <w:rsid w:val="004145C9"/>
    <w:rsid w:val="00422A62"/>
    <w:rsid w:val="00424895"/>
    <w:rsid w:val="00451CAA"/>
    <w:rsid w:val="004544E8"/>
    <w:rsid w:val="004548FF"/>
    <w:rsid w:val="004705C7"/>
    <w:rsid w:val="004B7D8C"/>
    <w:rsid w:val="004E0E06"/>
    <w:rsid w:val="004F2492"/>
    <w:rsid w:val="00505F6F"/>
    <w:rsid w:val="00531366"/>
    <w:rsid w:val="0053494B"/>
    <w:rsid w:val="00544A52"/>
    <w:rsid w:val="00564978"/>
    <w:rsid w:val="00576AE2"/>
    <w:rsid w:val="005B1FBE"/>
    <w:rsid w:val="005B6914"/>
    <w:rsid w:val="005F50A7"/>
    <w:rsid w:val="0060755D"/>
    <w:rsid w:val="0064262A"/>
    <w:rsid w:val="006533BB"/>
    <w:rsid w:val="00653C99"/>
    <w:rsid w:val="00657387"/>
    <w:rsid w:val="0065778F"/>
    <w:rsid w:val="00664B54"/>
    <w:rsid w:val="006912A6"/>
    <w:rsid w:val="006A09AF"/>
    <w:rsid w:val="006B31F3"/>
    <w:rsid w:val="006C2DE2"/>
    <w:rsid w:val="006C3E6E"/>
    <w:rsid w:val="006C6033"/>
    <w:rsid w:val="006E65ED"/>
    <w:rsid w:val="006F0C56"/>
    <w:rsid w:val="0070326A"/>
    <w:rsid w:val="00703D29"/>
    <w:rsid w:val="007073F5"/>
    <w:rsid w:val="00712900"/>
    <w:rsid w:val="00736622"/>
    <w:rsid w:val="00736A3B"/>
    <w:rsid w:val="007401EE"/>
    <w:rsid w:val="00742CCD"/>
    <w:rsid w:val="00754B54"/>
    <w:rsid w:val="0075669D"/>
    <w:rsid w:val="007A07A5"/>
    <w:rsid w:val="007A4FFA"/>
    <w:rsid w:val="007A782A"/>
    <w:rsid w:val="007B093D"/>
    <w:rsid w:val="007D26F0"/>
    <w:rsid w:val="00803930"/>
    <w:rsid w:val="008164C8"/>
    <w:rsid w:val="00822E46"/>
    <w:rsid w:val="00831605"/>
    <w:rsid w:val="008D2008"/>
    <w:rsid w:val="008D2CE0"/>
    <w:rsid w:val="008D32E4"/>
    <w:rsid w:val="008F7E51"/>
    <w:rsid w:val="00907E71"/>
    <w:rsid w:val="00936B0B"/>
    <w:rsid w:val="009405F2"/>
    <w:rsid w:val="009459FF"/>
    <w:rsid w:val="0097048E"/>
    <w:rsid w:val="00993C80"/>
    <w:rsid w:val="00994A8B"/>
    <w:rsid w:val="009B2C40"/>
    <w:rsid w:val="009B4EFC"/>
    <w:rsid w:val="009E3FA5"/>
    <w:rsid w:val="009F36A4"/>
    <w:rsid w:val="009F3F46"/>
    <w:rsid w:val="009F7CE8"/>
    <w:rsid w:val="00A02E98"/>
    <w:rsid w:val="00A332FC"/>
    <w:rsid w:val="00A76BCB"/>
    <w:rsid w:val="00A824D9"/>
    <w:rsid w:val="00AB2DE9"/>
    <w:rsid w:val="00AC2524"/>
    <w:rsid w:val="00AD36FA"/>
    <w:rsid w:val="00AE6581"/>
    <w:rsid w:val="00AF31A0"/>
    <w:rsid w:val="00B03260"/>
    <w:rsid w:val="00B14FC0"/>
    <w:rsid w:val="00B477A0"/>
    <w:rsid w:val="00B51046"/>
    <w:rsid w:val="00B6652D"/>
    <w:rsid w:val="00B91DB6"/>
    <w:rsid w:val="00B91ED9"/>
    <w:rsid w:val="00BB4F22"/>
    <w:rsid w:val="00BB5F99"/>
    <w:rsid w:val="00BC5564"/>
    <w:rsid w:val="00BE468E"/>
    <w:rsid w:val="00C00795"/>
    <w:rsid w:val="00C03E46"/>
    <w:rsid w:val="00C063D3"/>
    <w:rsid w:val="00C064F5"/>
    <w:rsid w:val="00C1214D"/>
    <w:rsid w:val="00C27429"/>
    <w:rsid w:val="00C46501"/>
    <w:rsid w:val="00C82171"/>
    <w:rsid w:val="00C82F47"/>
    <w:rsid w:val="00C916B1"/>
    <w:rsid w:val="00C9590F"/>
    <w:rsid w:val="00CB5F09"/>
    <w:rsid w:val="00CC08C5"/>
    <w:rsid w:val="00CD49AE"/>
    <w:rsid w:val="00CD5AD1"/>
    <w:rsid w:val="00CE1E68"/>
    <w:rsid w:val="00CF2DC7"/>
    <w:rsid w:val="00D0316B"/>
    <w:rsid w:val="00D11EC1"/>
    <w:rsid w:val="00D1459C"/>
    <w:rsid w:val="00D340F3"/>
    <w:rsid w:val="00D36327"/>
    <w:rsid w:val="00D443BF"/>
    <w:rsid w:val="00D54E3A"/>
    <w:rsid w:val="00D95D67"/>
    <w:rsid w:val="00DA0839"/>
    <w:rsid w:val="00DA5DF8"/>
    <w:rsid w:val="00DC23AD"/>
    <w:rsid w:val="00DD055B"/>
    <w:rsid w:val="00DF3123"/>
    <w:rsid w:val="00DF4E48"/>
    <w:rsid w:val="00DF63B3"/>
    <w:rsid w:val="00E06BF0"/>
    <w:rsid w:val="00E3201C"/>
    <w:rsid w:val="00E41C3E"/>
    <w:rsid w:val="00E44ABE"/>
    <w:rsid w:val="00E50618"/>
    <w:rsid w:val="00E60BA0"/>
    <w:rsid w:val="00E65233"/>
    <w:rsid w:val="00E736C2"/>
    <w:rsid w:val="00EF2CB7"/>
    <w:rsid w:val="00F000C3"/>
    <w:rsid w:val="00F03AE5"/>
    <w:rsid w:val="00F127AC"/>
    <w:rsid w:val="00F14550"/>
    <w:rsid w:val="00F220EE"/>
    <w:rsid w:val="00F23855"/>
    <w:rsid w:val="00F654D1"/>
    <w:rsid w:val="00F74114"/>
    <w:rsid w:val="00F83407"/>
    <w:rsid w:val="00F86DEB"/>
    <w:rsid w:val="00F90E73"/>
    <w:rsid w:val="00F977DD"/>
    <w:rsid w:val="00FA3593"/>
    <w:rsid w:val="00FB23E5"/>
    <w:rsid w:val="00FC33F7"/>
    <w:rsid w:val="00FD5527"/>
    <w:rsid w:val="00FD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B0C7BB0C807E2D2C5DDC764B1D8F5F9B0CE9ABB65F0734B1D87E9D4920363Q6v4K" TargetMode="External"/><Relationship Id="rId18" Type="http://schemas.openxmlformats.org/officeDocument/2006/relationships/footer" Target="footer10.xml"/><Relationship Id="rId26" Type="http://schemas.openxmlformats.org/officeDocument/2006/relationships/footer" Target="footer15.xml"/><Relationship Id="rId39" Type="http://schemas.openxmlformats.org/officeDocument/2006/relationships/customXml" Target="../customXml/item4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8B0C7BB0C807E2D2C5DDC764B1D8F5F9B0CE9ABB65F0734B1D87E9D4920363Q6v4K" TargetMode="Externa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image" Target="media/image4.jpeg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3.jpeg"/><Relationship Id="rId32" Type="http://schemas.openxmlformats.org/officeDocument/2006/relationships/footer" Target="footer21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28" Type="http://schemas.openxmlformats.org/officeDocument/2006/relationships/footer" Target="footer17.xml"/><Relationship Id="rId36" Type="http://schemas.openxmlformats.org/officeDocument/2006/relationships/customXml" Target="../customXml/item1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264D66CB7061409CAC30C1577A7979" ma:contentTypeVersion="3" ma:contentTypeDescription="Создание документа." ma:contentTypeScope="" ma:versionID="8bbb0ffa07a3f19628c9a53d1f0454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8a32e0-9e4d-483b-807a-67373d7e18d1" targetNamespace="http://schemas.microsoft.com/office/2006/metadata/properties" ma:root="true" ma:fieldsID="8e6bc7c3e580a02f44a2f451ad0d9490" ns2:_="" ns3:_="" ns4:_="">
    <xsd:import namespace="57504d04-691e-4fc4-8f09-4f19fdbe90f6"/>
    <xsd:import namespace="6d7c22ec-c6a4-4777-88aa-bc3c76ac660e"/>
    <xsd:import namespace="3a8a32e0-9e4d-483b-807a-67373d7e1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a32e0-9e4d-483b-807a-67373d7e18d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Dropdown" ma:internalName="_x041f__x0430__x043f__x043a__x0430_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3a8a32e0-9e4d-483b-807a-67373d7e18d1">2015</_x041f__x0430__x043f__x043a__x0430_>
    <_x0414__x0430__x0442__x0430__x0020__x0434__x043e__x043a__x0443__x043c__x0435__x043d__x0442__x0430_ xmlns="3a8a32e0-9e4d-483b-807a-67373d7e18d1">2016-03-15T21:00:00+00:00</_x0414__x0430__x0442__x0430__x0020__x0434__x043e__x043a__x0443__x043c__x0435__x043d__x0442__x0430_>
    <_dlc_DocId xmlns="57504d04-691e-4fc4-8f09-4f19fdbe90f6">XXJ7TYMEEKJ2-4371-18</_dlc_DocId>
    <_dlc_DocIdUrl xmlns="57504d04-691e-4fc4-8f09-4f19fdbe90f6">
      <Url>http://spsearch.gov.mari.ru:32643/morki/shinsha/_layouts/DocIdRedir.aspx?ID=XXJ7TYMEEKJ2-4371-18</Url>
      <Description>XXJ7TYMEEKJ2-4371-18</Description>
    </_dlc_DocIdUrl>
  </documentManagement>
</p:properties>
</file>

<file path=customXml/itemProps1.xml><?xml version="1.0" encoding="utf-8"?>
<ds:datastoreItem xmlns:ds="http://schemas.openxmlformats.org/officeDocument/2006/customXml" ds:itemID="{BCE4A397-861B-4919-A535-BB780ED63A77}"/>
</file>

<file path=customXml/itemProps2.xml><?xml version="1.0" encoding="utf-8"?>
<ds:datastoreItem xmlns:ds="http://schemas.openxmlformats.org/officeDocument/2006/customXml" ds:itemID="{64B43218-6D7B-4AFF-8E9E-EC29AC83FD7C}"/>
</file>

<file path=customXml/itemProps3.xml><?xml version="1.0" encoding="utf-8"?>
<ds:datastoreItem xmlns:ds="http://schemas.openxmlformats.org/officeDocument/2006/customXml" ds:itemID="{90AFB437-94AF-4457-AD6F-8B39B4B9AF2C}"/>
</file>

<file path=customXml/itemProps4.xml><?xml version="1.0" encoding="utf-8"?>
<ds:datastoreItem xmlns:ds="http://schemas.openxmlformats.org/officeDocument/2006/customXml" ds:itemID="{CD5034A6-656F-427F-9EFA-144C04AA4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46</Pages>
  <Words>13324</Words>
  <Characters>75953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89099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местных нормативов градостроительного проектирования Шиньшинского сельского поселения</dc:title>
  <dc:subject/>
  <dc:creator>User</dc:creator>
  <cp:keywords/>
  <dc:description/>
  <cp:lastModifiedBy>User-PC</cp:lastModifiedBy>
  <cp:revision>80</cp:revision>
  <cp:lastPrinted>2015-05-21T08:16:00Z</cp:lastPrinted>
  <dcterms:created xsi:type="dcterms:W3CDTF">2015-02-12T10:58:00Z</dcterms:created>
  <dcterms:modified xsi:type="dcterms:W3CDTF">2016-03-15T11:37:00Z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0x01010064264D66CB7061409CAC30C1577A7979</vt:lpwstr>
  </property>
  <property fmtid="{D5CDD505-2E9C-101B-9397-08002B2CF9AE}" pid="3" name="_dlc_DocIdItemGuid">
    <vt:lpwstr>eba456c8-b6a3-4d01-9126-a62103ca57a5</vt:lpwstr>
  </property>
</Properties>
</file>